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513930</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co-existence for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7.7.3</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RAN plenary meeting, a new WID to enable UAV with higher power than R18 NR_UAV WID was approved [1]. The objective of this WID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The core part of WI:</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Scenario: </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BSs for UAV service are deployed on the ground by adjusting the tilt angle upwards. The coverage height is up to 600~1000m. The ISD for BSs for UAV service is about 2~4km.</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 direct radio link between BS on the ground and UAV UE.</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Specify RF requirements for UAV UE to support higher UL output power.</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Example bands: </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hanging="327"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TDD with same TDD pattern, including n41, n77, n78, n79, </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hanging="327"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FDD: n3</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Consider UAV UE with omni-direction antenna or with antenna array</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Consider UAV UE with up to 33dBm max total conductive output power</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Analyse co-existence for UAV and considering the details relevant to UAV includi</w:t>
            </w:r>
            <w:r>
              <w:rPr>
                <w:rFonts w:hint="default" w:ascii="Times New Roman" w:hAnsi="Times New Roman" w:cs="Times New Roman"/>
                <w:color w:val="000000" w:themeColor="text1"/>
                <w:sz w:val="20"/>
                <w:szCs w:val="20"/>
                <w:highlight w:val="none"/>
                <w14:textFill>
                  <w14:solidFill>
                    <w14:schemeClr w14:val="tx1"/>
                  </w14:solidFill>
                </w14:textFill>
              </w:rPr>
              <w:t>ng antenna array model, and specify requirements if needed.</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Specify UE RF requirements, e.g., maximum output power, configured transmission power, SEM.</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color w:val="000000" w:themeColor="text1"/>
                <w:sz w:val="20"/>
                <w:szCs w:val="20"/>
                <w:highlight w:val="none"/>
                <w:lang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Specify RRM requirements, if needed</w:t>
            </w:r>
          </w:p>
          <w:p>
            <w:pPr>
              <w:keepNext w:val="0"/>
              <w:keepLines w:val="0"/>
              <w:pageBreakBefore w:val="0"/>
              <w:widowControl w:val="0"/>
              <w:kinsoku/>
              <w:wordWrap/>
              <w:overflowPunct/>
              <w:topLinePunct w:val="0"/>
              <w:autoSpaceDE/>
              <w:autoSpaceDN/>
              <w:bidi w:val="0"/>
              <w:adjustRightInd/>
              <w:snapToGrid w:val="0"/>
              <w:spacing w:after="60" w:line="240" w:lineRule="auto"/>
              <w:ind w:firstLine="44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rPr>
              <w:t>Note 1: No RAN1 impact are expected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As the maximum output power of UAV is improved, co-existence issues arise again. In this contribution, we provide our views on the co-existence issue of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bCs/>
          <w:i w:val="0"/>
          <w:iCs w:val="0"/>
          <w:kern w:val="0"/>
          <w:sz w:val="20"/>
          <w:szCs w:val="20"/>
          <w:highlight w:val="none"/>
          <w:lang w:val="en-US" w:eastAsia="zh-CN"/>
        </w:rPr>
        <w:t xml:space="preserve">The high power </w:t>
      </w:r>
      <w:r>
        <w:rPr>
          <w:rFonts w:hint="default" w:ascii="Times New Roman" w:hAnsi="Times New Roman" w:cs="Times New Roman"/>
          <w:color w:val="000000" w:themeColor="text1"/>
          <w:sz w:val="20"/>
          <w:szCs w:val="20"/>
          <w14:textFill>
            <w14:solidFill>
              <w14:schemeClr w14:val="tx1"/>
            </w14:solidFill>
          </w14:textFill>
        </w:rPr>
        <w:t>UAV UE with up to 33dBm max</w:t>
      </w:r>
      <w:r>
        <w:rPr>
          <w:rFonts w:hint="eastAsia" w:eastAsia="宋体" w:cs="Times New Roman"/>
          <w:color w:val="000000" w:themeColor="text1"/>
          <w:sz w:val="20"/>
          <w:szCs w:val="20"/>
          <w:lang w:val="en-US" w:eastAsia="zh-CN"/>
          <w14:textFill>
            <w14:solidFill>
              <w14:schemeClr w14:val="tx1"/>
            </w14:solidFill>
          </w14:textFill>
        </w:rPr>
        <w:t>imum</w:t>
      </w:r>
      <w:r>
        <w:rPr>
          <w:rFonts w:hint="default" w:ascii="Times New Roman" w:hAnsi="Times New Roman" w:cs="Times New Roman"/>
          <w:color w:val="000000" w:themeColor="text1"/>
          <w:sz w:val="20"/>
          <w:szCs w:val="20"/>
          <w14:textFill>
            <w14:solidFill>
              <w14:schemeClr w14:val="tx1"/>
            </w14:solidFill>
          </w14:textFill>
        </w:rPr>
        <w:t xml:space="preserve"> conductive output power</w:t>
      </w:r>
      <w:r>
        <w:rPr>
          <w:rFonts w:hint="eastAsia" w:eastAsia="宋体" w:cs="Times New Roman"/>
          <w:color w:val="000000" w:themeColor="text1"/>
          <w:sz w:val="20"/>
          <w:szCs w:val="20"/>
          <w:lang w:val="en-US" w:eastAsia="zh-CN"/>
          <w14:textFill>
            <w14:solidFill>
              <w14:schemeClr w14:val="tx1"/>
            </w14:solidFill>
          </w14:textFill>
        </w:rPr>
        <w:t xml:space="preserve"> will cause mo</w:t>
      </w:r>
      <w:r>
        <w:rPr>
          <w:rFonts w:hint="eastAsia" w:eastAsia="宋体" w:cs="Times New Roman"/>
          <w:color w:val="000000" w:themeColor="text1"/>
          <w:sz w:val="20"/>
          <w:szCs w:val="20"/>
          <w:highlight w:val="none"/>
          <w:lang w:val="en-US" w:eastAsia="zh-CN"/>
          <w14:textFill>
            <w14:solidFill>
              <w14:schemeClr w14:val="tx1"/>
            </w14:solidFill>
          </w14:textFill>
        </w:rPr>
        <w:t>re output RF spectrum emissions than t</w:t>
      </w:r>
      <w:r>
        <w:rPr>
          <w:rFonts w:hint="eastAsia"/>
          <w:bCs/>
          <w:i w:val="0"/>
          <w:iCs w:val="0"/>
          <w:kern w:val="0"/>
          <w:sz w:val="20"/>
          <w:szCs w:val="20"/>
          <w:highlight w:val="none"/>
          <w:lang w:val="en-US" w:eastAsia="zh-CN"/>
        </w:rPr>
        <w:t xml:space="preserve">he PC3 Aerial UE (UAV) with 23dBm transmit power introduced in Rel-18. The interference between high power UAV network and terrestrial network in </w:t>
      </w:r>
      <w:r>
        <w:t>synchronized scenarios</w:t>
      </w:r>
      <w:r>
        <w:rPr>
          <w:rFonts w:hint="eastAsia" w:eastAsia="宋体"/>
          <w:lang w:val="en-US" w:eastAsia="zh-CN"/>
        </w:rPr>
        <w:t xml:space="preserve"> </w:t>
      </w:r>
      <w:r>
        <w:rPr>
          <w:rFonts w:hint="eastAsia"/>
          <w:bCs/>
          <w:i w:val="0"/>
          <w:iCs w:val="0"/>
          <w:kern w:val="0"/>
          <w:sz w:val="20"/>
          <w:szCs w:val="20"/>
          <w:highlight w:val="none"/>
          <w:lang w:val="en-US" w:eastAsia="zh-CN"/>
        </w:rPr>
        <w:t>is non-negligible and should be addressed.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With the introduction of high power UAV transmission, interference between UAV network and TN network exists in both UL transmission and DL transmission. The possible interference scenarios for co-existence and our analysis are listed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1  Interference scenarios for co-existence between UAV network ans TN</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2606"/>
        <w:gridCol w:w="5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Scenario</w:t>
            </w:r>
          </w:p>
        </w:tc>
        <w:tc>
          <w:tcPr>
            <w:tcW w:w="2606"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Interference type</w:t>
            </w:r>
          </w:p>
        </w:tc>
        <w:tc>
          <w:tcPr>
            <w:tcW w:w="525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Scenario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UL</w:t>
            </w:r>
          </w:p>
        </w:tc>
        <w:tc>
          <w:tcPr>
            <w:tcW w:w="2606"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val="0"/>
                <w:bCs w:val="0"/>
                <w:i w:val="0"/>
                <w:iCs w:val="0"/>
                <w:sz w:val="20"/>
                <w:szCs w:val="20"/>
                <w:highlight w:val="none"/>
                <w:vertAlign w:val="baseline"/>
                <w:lang w:val="en-US" w:eastAsia="zh-CN"/>
              </w:rPr>
            </w:pPr>
            <w:r>
              <w:drawing>
                <wp:inline distT="0" distB="0" distL="114300" distR="114300">
                  <wp:extent cx="1538605" cy="5251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538605" cy="525145"/>
                          </a:xfrm>
                          <a:prstGeom prst="rect">
                            <a:avLst/>
                          </a:prstGeom>
                          <a:noFill/>
                          <a:ln>
                            <a:noFill/>
                          </a:ln>
                        </pic:spPr>
                      </pic:pic>
                    </a:graphicData>
                  </a:graphic>
                </wp:inline>
              </w:drawing>
            </w:r>
          </w:p>
        </w:tc>
        <w:tc>
          <w:tcPr>
            <w:tcW w:w="525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Interference comes from TN UE and impacts UL transmission of UAV, where the interference level is same as legacy Rel-18 co-existence scenarios. As the output power of UAV is increased up to 33dBm, which is much higher than Rel-18 PC3 UAV, the impact of interference is weakened and legacy BS ACS requirements can be considered to apply for UAV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top"/>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Scenario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UL</w:t>
            </w:r>
          </w:p>
        </w:tc>
        <w:tc>
          <w:tcPr>
            <w:tcW w:w="2606" w:type="dxa"/>
            <w:vAlign w:val="top"/>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ascii="Times New Roman" w:hAnsi="Times New Roman" w:eastAsia="MS Mincho" w:cs="Times New Roman"/>
                <w:b w:val="0"/>
                <w:bCs w:val="0"/>
                <w:i w:val="0"/>
                <w:iCs w:val="0"/>
                <w:sz w:val="20"/>
                <w:szCs w:val="20"/>
                <w:highlight w:val="none"/>
                <w:vertAlign w:val="baseline"/>
                <w:lang w:val="en-US" w:eastAsia="zh-CN" w:bidi="ar-SA"/>
              </w:rPr>
            </w:pPr>
            <w:r>
              <w:drawing>
                <wp:inline distT="0" distB="0" distL="114300" distR="114300">
                  <wp:extent cx="1540510" cy="525780"/>
                  <wp:effectExtent l="0" t="0" r="1397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1540510" cy="525780"/>
                          </a:xfrm>
                          <a:prstGeom prst="rect">
                            <a:avLst/>
                          </a:prstGeom>
                          <a:noFill/>
                          <a:ln>
                            <a:noFill/>
                          </a:ln>
                        </pic:spPr>
                      </pic:pic>
                    </a:graphicData>
                  </a:graphic>
                </wp:inline>
              </w:drawing>
            </w:r>
          </w:p>
        </w:tc>
        <w:tc>
          <w:tcPr>
            <w:tcW w:w="5258" w:type="dxa"/>
            <w:vAlign w:val="top"/>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jc w:val="left"/>
              <w:textAlignment w:val="auto"/>
              <w:rPr>
                <w:rFonts w:hint="default" w:ascii="Times New Roman" w:hAnsi="Times New Roman" w:eastAsia="MS Mincho"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bidi="ar-SA"/>
              </w:rPr>
              <w:t xml:space="preserve">Interference comes from UAV </w:t>
            </w:r>
            <w:r>
              <w:rPr>
                <w:rFonts w:hint="eastAsia" w:cs="Times New Roman"/>
                <w:b w:val="0"/>
                <w:bCs w:val="0"/>
                <w:i w:val="0"/>
                <w:iCs w:val="0"/>
                <w:sz w:val="20"/>
                <w:szCs w:val="20"/>
                <w:highlight w:val="none"/>
                <w:vertAlign w:val="baseline"/>
                <w:lang w:val="en-US" w:eastAsia="zh-CN"/>
              </w:rPr>
              <w:t>and impacts</w:t>
            </w:r>
            <w:r>
              <w:rPr>
                <w:rFonts w:hint="eastAsia" w:cs="Times New Roman"/>
                <w:b w:val="0"/>
                <w:bCs w:val="0"/>
                <w:i w:val="0"/>
                <w:iCs w:val="0"/>
                <w:sz w:val="20"/>
                <w:szCs w:val="20"/>
                <w:highlight w:val="none"/>
                <w:vertAlign w:val="baseline"/>
                <w:lang w:val="en-US" w:eastAsia="zh-CN" w:bidi="ar-SA"/>
              </w:rPr>
              <w:t xml:space="preserve"> UL transmission of TN UE, where the interference level is higher than legacy Rel-18 co-existence scenarios. This case can be seen as the </w:t>
            </w:r>
            <w:r>
              <w:rPr>
                <w:rFonts w:hint="eastAsia" w:cs="Times New Roman"/>
                <w:b/>
                <w:bCs/>
                <w:i w:val="0"/>
                <w:iCs w:val="0"/>
                <w:sz w:val="20"/>
                <w:szCs w:val="20"/>
                <w:highlight w:val="none"/>
                <w:vertAlign w:val="baseline"/>
                <w:lang w:val="en-US" w:eastAsia="zh-CN" w:bidi="ar-SA"/>
              </w:rPr>
              <w:t>worst co-existence scenario</w:t>
            </w:r>
            <w:r>
              <w:rPr>
                <w:rFonts w:hint="eastAsia" w:cs="Times New Roman"/>
                <w:b w:val="0"/>
                <w:bCs w:val="0"/>
                <w:i w:val="0"/>
                <w:iCs w:val="0"/>
                <w:sz w:val="20"/>
                <w:szCs w:val="20"/>
                <w:highlight w:val="none"/>
                <w:vertAlign w:val="baseline"/>
                <w:lang w:val="en-US" w:eastAsia="zh-CN" w:bidi="ar-SA"/>
              </w:rPr>
              <w:t xml:space="preserve">, and </w:t>
            </w:r>
            <w:r>
              <w:rPr>
                <w:rFonts w:hint="eastAsia" w:cs="Times New Roman"/>
                <w:b/>
                <w:bCs/>
                <w:i w:val="0"/>
                <w:iCs w:val="0"/>
                <w:sz w:val="20"/>
                <w:szCs w:val="20"/>
                <w:highlight w:val="none"/>
                <w:vertAlign w:val="baseline"/>
                <w:lang w:val="en-US" w:eastAsia="zh-CN" w:bidi="ar-SA"/>
              </w:rPr>
              <w:t>the ACLR requirements for UAV with both omni-directional antenna and directional antenna should be re-evaluated.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Scenario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DL</w:t>
            </w:r>
          </w:p>
        </w:tc>
        <w:tc>
          <w:tcPr>
            <w:tcW w:w="2606"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val="0"/>
                <w:bCs w:val="0"/>
                <w:i w:val="0"/>
                <w:iCs w:val="0"/>
                <w:sz w:val="20"/>
                <w:szCs w:val="20"/>
                <w:highlight w:val="none"/>
                <w:vertAlign w:val="baseline"/>
                <w:lang w:val="en-US" w:eastAsia="zh-CN"/>
              </w:rPr>
            </w:pPr>
            <w:r>
              <w:drawing>
                <wp:inline distT="0" distB="0" distL="114300" distR="114300">
                  <wp:extent cx="1540510" cy="525780"/>
                  <wp:effectExtent l="0" t="0" r="1397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540510" cy="525780"/>
                          </a:xfrm>
                          <a:prstGeom prst="rect">
                            <a:avLst/>
                          </a:prstGeom>
                          <a:noFill/>
                          <a:ln>
                            <a:noFill/>
                          </a:ln>
                        </pic:spPr>
                      </pic:pic>
                    </a:graphicData>
                  </a:graphic>
                </wp:inline>
              </w:drawing>
            </w:r>
          </w:p>
        </w:tc>
        <w:tc>
          <w:tcPr>
            <w:tcW w:w="525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Interference comes from UAV BS and impacts DL transmission of TN UE, where the UAV UL signal steers from UAV BS to UAV in the air. Thus, the interference to TN UE is less than other normal TN aggressor BSs. Legacy BS ACLR requirements can be considered to apply for UAV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Scenario 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DL</w:t>
            </w:r>
          </w:p>
        </w:tc>
        <w:tc>
          <w:tcPr>
            <w:tcW w:w="2606"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textAlignment w:val="auto"/>
              <w:rPr>
                <w:rFonts w:hint="default" w:cs="Times New Roman"/>
                <w:b w:val="0"/>
                <w:bCs w:val="0"/>
                <w:i w:val="0"/>
                <w:iCs w:val="0"/>
                <w:sz w:val="20"/>
                <w:szCs w:val="20"/>
                <w:highlight w:val="none"/>
                <w:vertAlign w:val="baseline"/>
                <w:lang w:val="en-US" w:eastAsia="zh-CN"/>
              </w:rPr>
            </w:pPr>
            <w:r>
              <w:drawing>
                <wp:inline distT="0" distB="0" distL="114300" distR="114300">
                  <wp:extent cx="1543685" cy="52705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543685" cy="527050"/>
                          </a:xfrm>
                          <a:prstGeom prst="rect">
                            <a:avLst/>
                          </a:prstGeom>
                          <a:noFill/>
                          <a:ln>
                            <a:noFill/>
                          </a:ln>
                        </pic:spPr>
                      </pic:pic>
                    </a:graphicData>
                  </a:graphic>
                </wp:inline>
              </w:drawing>
            </w:r>
          </w:p>
        </w:tc>
        <w:tc>
          <w:tcPr>
            <w:tcW w:w="5258"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Interference comes from TN BS and impacts DL transmission of UAV, where the TN UL signal steers from TN BS to TN UE on the ground. As the output power of UAV is increased up to 33dBm, which is much higher than Rel-18 PC3 UAV, the impact of interference is weakened, and legacy UE ACS requirements can be considered to apply for UAV.</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As we analyzed above, Scenario 2 where the interference from high power UAV impacts UL transmission of TN UE can be seen as the worst scenario, which should be studied as first priority. The ACLR of high power UAV needs to be re-evaluated. In Scenario 2, if the UAV is equipped with omni-directional antenna, the worst case is that the TN is directly placed </w:t>
      </w:r>
      <w:r>
        <w:rPr>
          <w:highlight w:val="none"/>
        </w:rPr>
        <w:t>underneath</w:t>
      </w:r>
      <w:r>
        <w:rPr>
          <w:rFonts w:hint="eastAsia" w:cs="Times New Roman"/>
          <w:b w:val="0"/>
          <w:bCs w:val="0"/>
          <w:i w:val="0"/>
          <w:iCs w:val="0"/>
          <w:sz w:val="20"/>
          <w:szCs w:val="20"/>
          <w:highlight w:val="none"/>
          <w:lang w:val="en-US" w:eastAsia="zh-CN"/>
        </w:rPr>
        <w:t xml:space="preserve"> the UAV, where the TN BS may suffer the most serious co-existence interference. </w:t>
      </w:r>
      <w:r>
        <w:rPr>
          <w:highlight w:val="none"/>
        </w:rPr>
        <w:t xml:space="preserve">If the </w:t>
      </w:r>
      <w:r>
        <w:rPr>
          <w:rFonts w:hint="eastAsia" w:eastAsia="宋体"/>
          <w:highlight w:val="none"/>
          <w:lang w:val="en-US" w:eastAsia="zh-CN"/>
        </w:rPr>
        <w:t>UAV</w:t>
      </w:r>
      <w:r>
        <w:rPr>
          <w:highlight w:val="none"/>
        </w:rPr>
        <w:t xml:space="preserve"> </w:t>
      </w:r>
      <w:r>
        <w:rPr>
          <w:rFonts w:hint="eastAsia" w:eastAsia="宋体"/>
          <w:highlight w:val="none"/>
          <w:lang w:val="en-US" w:eastAsia="zh-CN"/>
        </w:rPr>
        <w:t>is equipped</w:t>
      </w:r>
      <w:r>
        <w:rPr>
          <w:highlight w:val="none"/>
        </w:rPr>
        <w:t xml:space="preserve"> a directional </w:t>
      </w:r>
      <w:r>
        <w:rPr>
          <w:rFonts w:hint="eastAsia" w:eastAsia="宋体"/>
          <w:highlight w:val="none"/>
          <w:lang w:val="en-US" w:eastAsia="zh-CN"/>
        </w:rPr>
        <w:t>antenna array</w:t>
      </w:r>
      <w:r>
        <w:rPr>
          <w:highlight w:val="none"/>
        </w:rPr>
        <w:t xml:space="preserve">, then </w:t>
      </w:r>
      <w:r>
        <w:rPr>
          <w:rFonts w:hint="eastAsia" w:eastAsia="宋体"/>
          <w:highlight w:val="none"/>
          <w:lang w:val="en-US" w:eastAsia="zh-CN"/>
        </w:rPr>
        <w:t xml:space="preserve">whether </w:t>
      </w:r>
      <w:r>
        <w:rPr>
          <w:highlight w:val="none"/>
        </w:rPr>
        <w:t xml:space="preserve">TN placed close to </w:t>
      </w:r>
      <w:r>
        <w:rPr>
          <w:rFonts w:hint="eastAsia" w:eastAsia="宋体"/>
          <w:highlight w:val="none"/>
          <w:lang w:val="en-US" w:eastAsia="zh-CN"/>
        </w:rPr>
        <w:t xml:space="preserve">UAV </w:t>
      </w:r>
      <w:r>
        <w:rPr>
          <w:highlight w:val="none"/>
        </w:rPr>
        <w:t xml:space="preserve">BS or TN placed underneath the </w:t>
      </w:r>
      <w:r>
        <w:rPr>
          <w:rFonts w:hint="eastAsia" w:eastAsia="宋体"/>
          <w:highlight w:val="none"/>
          <w:lang w:val="en-US" w:eastAsia="zh-CN"/>
        </w:rPr>
        <w:t>UAV</w:t>
      </w:r>
      <w:r>
        <w:rPr>
          <w:highlight w:val="none"/>
        </w:rPr>
        <w:t xml:space="preserve"> is </w:t>
      </w:r>
      <w:r>
        <w:rPr>
          <w:rFonts w:hint="eastAsia" w:eastAsia="宋体"/>
          <w:highlight w:val="none"/>
          <w:lang w:val="en-US" w:eastAsia="zh-CN"/>
        </w:rPr>
        <w:t xml:space="preserve">the </w:t>
      </w:r>
      <w:r>
        <w:rPr>
          <w:highlight w:val="none"/>
        </w:rPr>
        <w:t>worst case</w:t>
      </w:r>
      <w:r>
        <w:rPr>
          <w:rFonts w:hint="eastAsia" w:eastAsia="宋体"/>
          <w:highlight w:val="none"/>
          <w:lang w:val="en-US" w:eastAsia="zh-CN"/>
        </w:rPr>
        <w:t xml:space="preserve"> needs to be evaluated</w:t>
      </w:r>
      <w:r>
        <w:rPr>
          <w:highlight w:val="none"/>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Scenario 2 where interference from high power UAV impacts UL transmission of TN UE is the worst co-existence scenario, which should be studied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In Scenario 2, the ACLR requirements of high power UAV with both omni-directional antenna and directional antenna need to be re-evaluated.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remaining scenarios, as the interference level is no more than legacy scenarios, we think RAN4 can consider reusing legacy requirements for UAV and UAV BS, which could be treated as second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3: The remaining scenarios are second priority, where RAN4 can consider reusing legacy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co-existence evaluation, first of all, RAN4 needs to confirm whether analysis-based method or simulation-based method is to be used for UAV co-existence evaluation. Analysis-based method utilizes specific scenario and assumptions to calculate how much ACLR and ACS are needed, or whether legacy requirements are enough for UAV co-existence. This is not accurate enough but can save a lot of works in RAN4. Simulation-based method needs to align simulation models and parameters and spend much time on doing co-existence simulation and aligning simulation results.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RAN4 to confirm whether analysis-based method or simulation-based method is to be used for UAV co-existence evaluation.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Considering the similar electromagnetic environment in the air, similar propagation characteristics are shared between ATG network and UAV network. As we proposed in another contribution [2], the high power UAV should report its maximum output power just like that for ATG UE. The main differences between ATG UE and UAV are the flying height, flying distance and</w:t>
      </w:r>
      <w:bookmarkStart w:id="0" w:name="_GoBack"/>
      <w:bookmarkEnd w:id="0"/>
      <w:r>
        <w:rPr>
          <w:rFonts w:hint="eastAsia" w:cs="Times New Roman"/>
          <w:b w:val="0"/>
          <w:bCs w:val="0"/>
          <w:i w:val="0"/>
          <w:iCs w:val="0"/>
          <w:sz w:val="20"/>
          <w:szCs w:val="20"/>
          <w:highlight w:val="none"/>
          <w:lang w:val="en-US" w:eastAsia="zh-CN"/>
        </w:rPr>
        <w:t xml:space="preserve"> flying speed. Some co-existence parameters and evaluation methods in ATG network can be referred to, such as TN network layout, TN BS/UE parameters and antenna models, propagation model, etc..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Some co-existence parameters and evaluation methods in ATG network can be referred to, such as TN network layout, TN BS and UE parameters, propagation model, etc..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Specifically, the antenna model should be discussed for UAV, i.e. whether omni-directional antenna or directional antenna array or both can be used for UAV transmitting and receiving.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The antenna model should be discussed for UAV, i.e. whether omni-directional antenna or directional antenna array or both can be used for UAV transmitting and receiving.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Scenario 2 where interference from high power UAV impacts UL transmission of TN UE is the worst co-existence scenario, which should be studied as first priority.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In Scenario 2, the ACLR requirements of high power UAV with both omni-directional antenna and directional antenna need to be re-evaluated.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The remaining scenarios are second priority, where RAN4 can consider reusing legacy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RAN4 to confirm whether analysis-based method or simulation-based method is to be used for UAV co-existence evaluation.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Some co-existence parameters and evaluation methods in ATG network can be referred to, such as TN network layout, TN BS and UE parameters, propagation model, etc..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The antenna model should be discussed for UAV, i.e. whether omni-directional antenna or directional antenna array or both can be used for UAV transmitting and receiving.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RP-252954 New WID on enhancement of NR RF and RRM requirements for uncrewed aerial vehicle (UAV), RAN#109 Beijing, China, Sept.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 xml:space="preserve">R4-2513931 </w:t>
      </w:r>
      <w:r>
        <w:rPr>
          <w:rFonts w:hint="default"/>
          <w:sz w:val="20"/>
          <w:szCs w:val="20"/>
          <w:highlight w:val="none"/>
          <w:lang w:val="en-US" w:eastAsia="zh-CN"/>
        </w:rPr>
        <w:t>Discussion on</w:t>
      </w:r>
      <w:r>
        <w:rPr>
          <w:rFonts w:hint="eastAsia"/>
          <w:sz w:val="20"/>
          <w:szCs w:val="20"/>
          <w:highlight w:val="none"/>
          <w:lang w:val="en-US" w:eastAsia="zh-CN"/>
        </w:rPr>
        <w:t xml:space="preserve"> UE RF requirements for UAV, ZTE, RAN4#116bis, Prague, CZ, Oct. 2025.</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8C1A59"/>
    <w:rsid w:val="01945324"/>
    <w:rsid w:val="01957959"/>
    <w:rsid w:val="01BA0053"/>
    <w:rsid w:val="01CA556D"/>
    <w:rsid w:val="01DC1C82"/>
    <w:rsid w:val="01DC200E"/>
    <w:rsid w:val="01EB315E"/>
    <w:rsid w:val="01ED212B"/>
    <w:rsid w:val="01F86CD9"/>
    <w:rsid w:val="01FF4EDD"/>
    <w:rsid w:val="02065A2E"/>
    <w:rsid w:val="020928F5"/>
    <w:rsid w:val="0217354E"/>
    <w:rsid w:val="021A2217"/>
    <w:rsid w:val="021A5187"/>
    <w:rsid w:val="02281CFD"/>
    <w:rsid w:val="0228598B"/>
    <w:rsid w:val="022931C1"/>
    <w:rsid w:val="02343561"/>
    <w:rsid w:val="023C44BA"/>
    <w:rsid w:val="025B0AD8"/>
    <w:rsid w:val="025B2BD1"/>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9E20C7"/>
    <w:rsid w:val="03A05508"/>
    <w:rsid w:val="03AB67DC"/>
    <w:rsid w:val="03AD2FC5"/>
    <w:rsid w:val="03B76035"/>
    <w:rsid w:val="03B82CC7"/>
    <w:rsid w:val="03C77456"/>
    <w:rsid w:val="03C84D9A"/>
    <w:rsid w:val="03CB41C8"/>
    <w:rsid w:val="03DA6915"/>
    <w:rsid w:val="03E60C72"/>
    <w:rsid w:val="04144F59"/>
    <w:rsid w:val="04156C27"/>
    <w:rsid w:val="042221BB"/>
    <w:rsid w:val="042B1DF5"/>
    <w:rsid w:val="042E52E6"/>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EF4362"/>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C11394"/>
    <w:rsid w:val="06C30854"/>
    <w:rsid w:val="06C60638"/>
    <w:rsid w:val="06C93669"/>
    <w:rsid w:val="06CC69B4"/>
    <w:rsid w:val="06CD6519"/>
    <w:rsid w:val="06CE0955"/>
    <w:rsid w:val="06D84A8A"/>
    <w:rsid w:val="06F36A7A"/>
    <w:rsid w:val="06F44AE3"/>
    <w:rsid w:val="070F3D15"/>
    <w:rsid w:val="07122035"/>
    <w:rsid w:val="07171551"/>
    <w:rsid w:val="07214293"/>
    <w:rsid w:val="072144C3"/>
    <w:rsid w:val="07306E31"/>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050B76"/>
    <w:rsid w:val="080A6FC5"/>
    <w:rsid w:val="0818374A"/>
    <w:rsid w:val="08315282"/>
    <w:rsid w:val="085145EC"/>
    <w:rsid w:val="085C2CEC"/>
    <w:rsid w:val="085D2367"/>
    <w:rsid w:val="085E5DBE"/>
    <w:rsid w:val="08721912"/>
    <w:rsid w:val="087B0F4C"/>
    <w:rsid w:val="087C4EF8"/>
    <w:rsid w:val="087F3562"/>
    <w:rsid w:val="088467B6"/>
    <w:rsid w:val="08A656AD"/>
    <w:rsid w:val="08AD5856"/>
    <w:rsid w:val="08C13553"/>
    <w:rsid w:val="08C3786B"/>
    <w:rsid w:val="08C71DC3"/>
    <w:rsid w:val="08CA745A"/>
    <w:rsid w:val="08D538D0"/>
    <w:rsid w:val="08E37BAD"/>
    <w:rsid w:val="08EE2ED2"/>
    <w:rsid w:val="08F869E1"/>
    <w:rsid w:val="08FB28C9"/>
    <w:rsid w:val="090F5236"/>
    <w:rsid w:val="09133D59"/>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1A6700"/>
    <w:rsid w:val="0A2802DC"/>
    <w:rsid w:val="0A4B6F30"/>
    <w:rsid w:val="0A616EBE"/>
    <w:rsid w:val="0A665D1E"/>
    <w:rsid w:val="0A731B50"/>
    <w:rsid w:val="0A8D4756"/>
    <w:rsid w:val="0A8E34E6"/>
    <w:rsid w:val="0AB60DEE"/>
    <w:rsid w:val="0AC9278E"/>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30E3F"/>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02401"/>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D394C"/>
    <w:rsid w:val="107E2741"/>
    <w:rsid w:val="108F05CA"/>
    <w:rsid w:val="109241A4"/>
    <w:rsid w:val="109615A9"/>
    <w:rsid w:val="109658C1"/>
    <w:rsid w:val="10A81A96"/>
    <w:rsid w:val="10C9379F"/>
    <w:rsid w:val="10D2232B"/>
    <w:rsid w:val="10D6699E"/>
    <w:rsid w:val="10D902DE"/>
    <w:rsid w:val="10E63E4A"/>
    <w:rsid w:val="11104883"/>
    <w:rsid w:val="11291D63"/>
    <w:rsid w:val="112D72C6"/>
    <w:rsid w:val="113F3856"/>
    <w:rsid w:val="1155323D"/>
    <w:rsid w:val="115D2952"/>
    <w:rsid w:val="11683FF9"/>
    <w:rsid w:val="118038D3"/>
    <w:rsid w:val="118C0750"/>
    <w:rsid w:val="119229CC"/>
    <w:rsid w:val="11A17658"/>
    <w:rsid w:val="11A50508"/>
    <w:rsid w:val="11A63D04"/>
    <w:rsid w:val="11E2669D"/>
    <w:rsid w:val="11FD3DC0"/>
    <w:rsid w:val="120639A8"/>
    <w:rsid w:val="12121726"/>
    <w:rsid w:val="122250B4"/>
    <w:rsid w:val="123E5A4F"/>
    <w:rsid w:val="12447798"/>
    <w:rsid w:val="125D4125"/>
    <w:rsid w:val="12771554"/>
    <w:rsid w:val="127B3BB4"/>
    <w:rsid w:val="127E68BB"/>
    <w:rsid w:val="12AA1F62"/>
    <w:rsid w:val="12AE4121"/>
    <w:rsid w:val="12B51A8D"/>
    <w:rsid w:val="12B63F3E"/>
    <w:rsid w:val="12BB4A97"/>
    <w:rsid w:val="12C041D4"/>
    <w:rsid w:val="12CF1D40"/>
    <w:rsid w:val="12F14732"/>
    <w:rsid w:val="12F7602D"/>
    <w:rsid w:val="12FD27F6"/>
    <w:rsid w:val="131B308E"/>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276FAA"/>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220493"/>
    <w:rsid w:val="15222491"/>
    <w:rsid w:val="15286C92"/>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B4E41"/>
    <w:rsid w:val="188D7449"/>
    <w:rsid w:val="189553E8"/>
    <w:rsid w:val="189A62E8"/>
    <w:rsid w:val="18A64E26"/>
    <w:rsid w:val="18AC426F"/>
    <w:rsid w:val="18D71037"/>
    <w:rsid w:val="18D76F2C"/>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B376BA"/>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A08B1"/>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5C3652"/>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A0892"/>
    <w:rsid w:val="1C5D00DA"/>
    <w:rsid w:val="1C6441F0"/>
    <w:rsid w:val="1C791088"/>
    <w:rsid w:val="1C7A307B"/>
    <w:rsid w:val="1C7D0C1A"/>
    <w:rsid w:val="1C7E2DD6"/>
    <w:rsid w:val="1C905109"/>
    <w:rsid w:val="1CA53FA1"/>
    <w:rsid w:val="1CAA0F65"/>
    <w:rsid w:val="1CAD4CCB"/>
    <w:rsid w:val="1CAF7573"/>
    <w:rsid w:val="1CCC40C9"/>
    <w:rsid w:val="1CDD5D84"/>
    <w:rsid w:val="1CE65015"/>
    <w:rsid w:val="1D186F9D"/>
    <w:rsid w:val="1D1C598A"/>
    <w:rsid w:val="1D441F2D"/>
    <w:rsid w:val="1D504421"/>
    <w:rsid w:val="1D7E7249"/>
    <w:rsid w:val="1D7F6660"/>
    <w:rsid w:val="1D956B63"/>
    <w:rsid w:val="1DA155EF"/>
    <w:rsid w:val="1DA251E1"/>
    <w:rsid w:val="1DA67F64"/>
    <w:rsid w:val="1DA838FE"/>
    <w:rsid w:val="1DA93704"/>
    <w:rsid w:val="1DB875D1"/>
    <w:rsid w:val="1DC5127B"/>
    <w:rsid w:val="1DC639E0"/>
    <w:rsid w:val="1DDE1A57"/>
    <w:rsid w:val="1DE009E6"/>
    <w:rsid w:val="1DE4729F"/>
    <w:rsid w:val="1DF679C8"/>
    <w:rsid w:val="1E1B2BD7"/>
    <w:rsid w:val="1E224F27"/>
    <w:rsid w:val="1E273431"/>
    <w:rsid w:val="1E2A7432"/>
    <w:rsid w:val="1E343C5D"/>
    <w:rsid w:val="1E37411F"/>
    <w:rsid w:val="1E407993"/>
    <w:rsid w:val="1E5E301B"/>
    <w:rsid w:val="1E634732"/>
    <w:rsid w:val="1E6F06AB"/>
    <w:rsid w:val="1E752FA6"/>
    <w:rsid w:val="1E814D75"/>
    <w:rsid w:val="1E826F9E"/>
    <w:rsid w:val="1E8718D1"/>
    <w:rsid w:val="1EA7655E"/>
    <w:rsid w:val="1EA9518B"/>
    <w:rsid w:val="1ECF1323"/>
    <w:rsid w:val="1ECF4A99"/>
    <w:rsid w:val="1ED12C2B"/>
    <w:rsid w:val="1EDC33BC"/>
    <w:rsid w:val="1EE21314"/>
    <w:rsid w:val="1EEF50E7"/>
    <w:rsid w:val="1EF72D37"/>
    <w:rsid w:val="1F053B2A"/>
    <w:rsid w:val="1F101F77"/>
    <w:rsid w:val="1F211865"/>
    <w:rsid w:val="1F295D72"/>
    <w:rsid w:val="1F371717"/>
    <w:rsid w:val="1F4325C8"/>
    <w:rsid w:val="1F520B16"/>
    <w:rsid w:val="1F595BBB"/>
    <w:rsid w:val="1F7044DA"/>
    <w:rsid w:val="1F777E85"/>
    <w:rsid w:val="1F782E4D"/>
    <w:rsid w:val="1F7C7957"/>
    <w:rsid w:val="1FC127CE"/>
    <w:rsid w:val="1FD200F1"/>
    <w:rsid w:val="1FD21E35"/>
    <w:rsid w:val="1FD96681"/>
    <w:rsid w:val="1FE10390"/>
    <w:rsid w:val="1FE54DBA"/>
    <w:rsid w:val="1FE73560"/>
    <w:rsid w:val="1FE87AE4"/>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DB352C"/>
    <w:rsid w:val="20E00C0C"/>
    <w:rsid w:val="20E20BBA"/>
    <w:rsid w:val="20E737F7"/>
    <w:rsid w:val="20EC03B6"/>
    <w:rsid w:val="20EE04E5"/>
    <w:rsid w:val="21297D3A"/>
    <w:rsid w:val="212E17DE"/>
    <w:rsid w:val="212E7692"/>
    <w:rsid w:val="213271D8"/>
    <w:rsid w:val="213E655D"/>
    <w:rsid w:val="214D4FE0"/>
    <w:rsid w:val="215026E7"/>
    <w:rsid w:val="21592706"/>
    <w:rsid w:val="216D7544"/>
    <w:rsid w:val="21712A16"/>
    <w:rsid w:val="2173162C"/>
    <w:rsid w:val="21825FF7"/>
    <w:rsid w:val="218E2266"/>
    <w:rsid w:val="21900AEB"/>
    <w:rsid w:val="2194776B"/>
    <w:rsid w:val="21B80AA5"/>
    <w:rsid w:val="21D2685E"/>
    <w:rsid w:val="21ED002D"/>
    <w:rsid w:val="21FF7518"/>
    <w:rsid w:val="22026AE6"/>
    <w:rsid w:val="22095360"/>
    <w:rsid w:val="2214054C"/>
    <w:rsid w:val="22145011"/>
    <w:rsid w:val="221703FC"/>
    <w:rsid w:val="222A0690"/>
    <w:rsid w:val="222A56CF"/>
    <w:rsid w:val="22305995"/>
    <w:rsid w:val="2240392C"/>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EB5BD9"/>
    <w:rsid w:val="24F17095"/>
    <w:rsid w:val="24F214B5"/>
    <w:rsid w:val="24F35147"/>
    <w:rsid w:val="24F7585F"/>
    <w:rsid w:val="24F907DC"/>
    <w:rsid w:val="250D35C2"/>
    <w:rsid w:val="25164C7F"/>
    <w:rsid w:val="252437DA"/>
    <w:rsid w:val="252A03F9"/>
    <w:rsid w:val="25324A24"/>
    <w:rsid w:val="25560FB4"/>
    <w:rsid w:val="255B68D6"/>
    <w:rsid w:val="256271F2"/>
    <w:rsid w:val="256E3452"/>
    <w:rsid w:val="25821C68"/>
    <w:rsid w:val="259D3570"/>
    <w:rsid w:val="25AB42B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BC604E"/>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2B60A0"/>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3080B"/>
    <w:rsid w:val="298C2425"/>
    <w:rsid w:val="29A113D7"/>
    <w:rsid w:val="29A14B0F"/>
    <w:rsid w:val="29AF4C6B"/>
    <w:rsid w:val="29B91531"/>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87872"/>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B03A20"/>
    <w:rsid w:val="2CC91D44"/>
    <w:rsid w:val="2CD46AFB"/>
    <w:rsid w:val="2CDC2898"/>
    <w:rsid w:val="2CE15438"/>
    <w:rsid w:val="2CF86901"/>
    <w:rsid w:val="2CFC3A5A"/>
    <w:rsid w:val="2D151F6D"/>
    <w:rsid w:val="2D1D4166"/>
    <w:rsid w:val="2D214A86"/>
    <w:rsid w:val="2D291F09"/>
    <w:rsid w:val="2D3416FA"/>
    <w:rsid w:val="2D36293A"/>
    <w:rsid w:val="2D3B0E36"/>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146D5"/>
    <w:rsid w:val="2E3C11DA"/>
    <w:rsid w:val="2E3F7BC5"/>
    <w:rsid w:val="2E430E60"/>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907976"/>
    <w:rsid w:val="2F914D18"/>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A2FCC"/>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07683"/>
    <w:rsid w:val="312C2F69"/>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B21F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24A9A"/>
    <w:rsid w:val="33C65B01"/>
    <w:rsid w:val="33CC2F57"/>
    <w:rsid w:val="33D07732"/>
    <w:rsid w:val="33D44147"/>
    <w:rsid w:val="33DE1333"/>
    <w:rsid w:val="33DF3033"/>
    <w:rsid w:val="33FA7A53"/>
    <w:rsid w:val="33FE59C9"/>
    <w:rsid w:val="34110FF9"/>
    <w:rsid w:val="3411186E"/>
    <w:rsid w:val="3421003E"/>
    <w:rsid w:val="3424266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5084C"/>
    <w:rsid w:val="3617272C"/>
    <w:rsid w:val="361A0DD1"/>
    <w:rsid w:val="363A75C1"/>
    <w:rsid w:val="364C03A6"/>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2C7B34"/>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348AB"/>
    <w:rsid w:val="3B68666D"/>
    <w:rsid w:val="3B7457AD"/>
    <w:rsid w:val="3B7B144D"/>
    <w:rsid w:val="3B7F12F6"/>
    <w:rsid w:val="3B8E2DEE"/>
    <w:rsid w:val="3B920EC0"/>
    <w:rsid w:val="3B924465"/>
    <w:rsid w:val="3B9C5361"/>
    <w:rsid w:val="3BA53541"/>
    <w:rsid w:val="3BA94452"/>
    <w:rsid w:val="3BC00012"/>
    <w:rsid w:val="3BFC0B7A"/>
    <w:rsid w:val="3C031B6A"/>
    <w:rsid w:val="3C155C2C"/>
    <w:rsid w:val="3C1A13D5"/>
    <w:rsid w:val="3C1F3CDD"/>
    <w:rsid w:val="3C3318F7"/>
    <w:rsid w:val="3C4A7007"/>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1788A"/>
    <w:rsid w:val="3D0970C8"/>
    <w:rsid w:val="3D145266"/>
    <w:rsid w:val="3D1566A0"/>
    <w:rsid w:val="3D230EF3"/>
    <w:rsid w:val="3D264775"/>
    <w:rsid w:val="3D42795C"/>
    <w:rsid w:val="3D5A0AB6"/>
    <w:rsid w:val="3D5A19A0"/>
    <w:rsid w:val="3D5D4541"/>
    <w:rsid w:val="3D606F86"/>
    <w:rsid w:val="3D6F2596"/>
    <w:rsid w:val="3D753E3B"/>
    <w:rsid w:val="3D775856"/>
    <w:rsid w:val="3D7961D3"/>
    <w:rsid w:val="3D811642"/>
    <w:rsid w:val="3D814D9D"/>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3FF819C9"/>
    <w:rsid w:val="400021A9"/>
    <w:rsid w:val="40071F8E"/>
    <w:rsid w:val="40091D0E"/>
    <w:rsid w:val="40154B29"/>
    <w:rsid w:val="40273EB3"/>
    <w:rsid w:val="402A0BEC"/>
    <w:rsid w:val="40332164"/>
    <w:rsid w:val="40385E0C"/>
    <w:rsid w:val="403917EB"/>
    <w:rsid w:val="404F7A6B"/>
    <w:rsid w:val="40592A16"/>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E1213A"/>
    <w:rsid w:val="40E6301D"/>
    <w:rsid w:val="40F94424"/>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71B29"/>
    <w:rsid w:val="440A2EF6"/>
    <w:rsid w:val="440E223D"/>
    <w:rsid w:val="44215206"/>
    <w:rsid w:val="442C702D"/>
    <w:rsid w:val="4431006B"/>
    <w:rsid w:val="44326FB5"/>
    <w:rsid w:val="443E1A69"/>
    <w:rsid w:val="445D7409"/>
    <w:rsid w:val="44707017"/>
    <w:rsid w:val="4474621B"/>
    <w:rsid w:val="44765C62"/>
    <w:rsid w:val="44813B55"/>
    <w:rsid w:val="449208B0"/>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C3C02"/>
    <w:rsid w:val="453D01E5"/>
    <w:rsid w:val="454A0FCA"/>
    <w:rsid w:val="45605650"/>
    <w:rsid w:val="45811728"/>
    <w:rsid w:val="45834801"/>
    <w:rsid w:val="45875642"/>
    <w:rsid w:val="458B617D"/>
    <w:rsid w:val="458D0B6B"/>
    <w:rsid w:val="458F4D24"/>
    <w:rsid w:val="45907A1D"/>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357B83"/>
    <w:rsid w:val="46462F04"/>
    <w:rsid w:val="46545EC0"/>
    <w:rsid w:val="46554BE7"/>
    <w:rsid w:val="465B1E86"/>
    <w:rsid w:val="465E648A"/>
    <w:rsid w:val="46604D97"/>
    <w:rsid w:val="46726720"/>
    <w:rsid w:val="467847A0"/>
    <w:rsid w:val="467D17CB"/>
    <w:rsid w:val="46830DA3"/>
    <w:rsid w:val="46852B0D"/>
    <w:rsid w:val="4697740A"/>
    <w:rsid w:val="46C6208F"/>
    <w:rsid w:val="46DA12C7"/>
    <w:rsid w:val="46EF544C"/>
    <w:rsid w:val="46F714E0"/>
    <w:rsid w:val="46F91A62"/>
    <w:rsid w:val="471B5457"/>
    <w:rsid w:val="471C6A14"/>
    <w:rsid w:val="471D28E4"/>
    <w:rsid w:val="473010D7"/>
    <w:rsid w:val="4732695E"/>
    <w:rsid w:val="47334610"/>
    <w:rsid w:val="4753781A"/>
    <w:rsid w:val="478A1DFA"/>
    <w:rsid w:val="47927375"/>
    <w:rsid w:val="47971FDC"/>
    <w:rsid w:val="479D1728"/>
    <w:rsid w:val="47A928F1"/>
    <w:rsid w:val="47C806EC"/>
    <w:rsid w:val="47F0637D"/>
    <w:rsid w:val="47F40E9D"/>
    <w:rsid w:val="48125136"/>
    <w:rsid w:val="481C0CDA"/>
    <w:rsid w:val="481C6030"/>
    <w:rsid w:val="48252F6B"/>
    <w:rsid w:val="482778EA"/>
    <w:rsid w:val="482C6CD1"/>
    <w:rsid w:val="483A48DA"/>
    <w:rsid w:val="483E6C5F"/>
    <w:rsid w:val="4853345A"/>
    <w:rsid w:val="485A127C"/>
    <w:rsid w:val="48622F87"/>
    <w:rsid w:val="48782922"/>
    <w:rsid w:val="48845C84"/>
    <w:rsid w:val="48914098"/>
    <w:rsid w:val="48973F32"/>
    <w:rsid w:val="489C44D3"/>
    <w:rsid w:val="489D6486"/>
    <w:rsid w:val="489F483A"/>
    <w:rsid w:val="48BC4A2A"/>
    <w:rsid w:val="48C82BE2"/>
    <w:rsid w:val="48CE17E0"/>
    <w:rsid w:val="48DE1DC6"/>
    <w:rsid w:val="48F30D3D"/>
    <w:rsid w:val="48F82FC3"/>
    <w:rsid w:val="49095F7E"/>
    <w:rsid w:val="490D059B"/>
    <w:rsid w:val="490D3059"/>
    <w:rsid w:val="49173867"/>
    <w:rsid w:val="491C2233"/>
    <w:rsid w:val="492F6EA2"/>
    <w:rsid w:val="49317DE6"/>
    <w:rsid w:val="493243B6"/>
    <w:rsid w:val="494A394A"/>
    <w:rsid w:val="494C1910"/>
    <w:rsid w:val="49500FEB"/>
    <w:rsid w:val="49672DD2"/>
    <w:rsid w:val="49751781"/>
    <w:rsid w:val="4976679A"/>
    <w:rsid w:val="4982678C"/>
    <w:rsid w:val="49982D33"/>
    <w:rsid w:val="499F4C2E"/>
    <w:rsid w:val="49B2576C"/>
    <w:rsid w:val="49C4340C"/>
    <w:rsid w:val="49C4368E"/>
    <w:rsid w:val="49C46503"/>
    <w:rsid w:val="49CA57C6"/>
    <w:rsid w:val="49CF770B"/>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8E0084"/>
    <w:rsid w:val="4B901389"/>
    <w:rsid w:val="4B956F5E"/>
    <w:rsid w:val="4B986207"/>
    <w:rsid w:val="4B987896"/>
    <w:rsid w:val="4B9969CA"/>
    <w:rsid w:val="4BA04F33"/>
    <w:rsid w:val="4BBF3E20"/>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B68B9"/>
    <w:rsid w:val="4CB629EB"/>
    <w:rsid w:val="4CBD15B4"/>
    <w:rsid w:val="4CBF03D6"/>
    <w:rsid w:val="4CC552E2"/>
    <w:rsid w:val="4CFE4516"/>
    <w:rsid w:val="4CFF6DF1"/>
    <w:rsid w:val="4D014AEF"/>
    <w:rsid w:val="4D105B68"/>
    <w:rsid w:val="4D1E3273"/>
    <w:rsid w:val="4D2204B2"/>
    <w:rsid w:val="4D28720C"/>
    <w:rsid w:val="4D49433F"/>
    <w:rsid w:val="4D513299"/>
    <w:rsid w:val="4D5E3588"/>
    <w:rsid w:val="4D680CE9"/>
    <w:rsid w:val="4D6F30CD"/>
    <w:rsid w:val="4D800373"/>
    <w:rsid w:val="4D8D2AE5"/>
    <w:rsid w:val="4D901F00"/>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06330"/>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252466"/>
    <w:rsid w:val="4F2651AA"/>
    <w:rsid w:val="4F450CCE"/>
    <w:rsid w:val="4F516358"/>
    <w:rsid w:val="4F5B4AF3"/>
    <w:rsid w:val="4F670186"/>
    <w:rsid w:val="4F6E77B9"/>
    <w:rsid w:val="4F723BCD"/>
    <w:rsid w:val="4F7932B9"/>
    <w:rsid w:val="4F79613F"/>
    <w:rsid w:val="4F7A3958"/>
    <w:rsid w:val="4F813AF7"/>
    <w:rsid w:val="4F823122"/>
    <w:rsid w:val="4F865BE9"/>
    <w:rsid w:val="4F955B5F"/>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C260C"/>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C12DE"/>
    <w:rsid w:val="53FE42EB"/>
    <w:rsid w:val="53FF3ABE"/>
    <w:rsid w:val="54017384"/>
    <w:rsid w:val="54175BE1"/>
    <w:rsid w:val="54192F65"/>
    <w:rsid w:val="542F26A5"/>
    <w:rsid w:val="543770F8"/>
    <w:rsid w:val="5445166E"/>
    <w:rsid w:val="545741F0"/>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0D43A2"/>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B48A6"/>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0F0C1D"/>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E7743"/>
    <w:rsid w:val="5A604DB4"/>
    <w:rsid w:val="5A6934B1"/>
    <w:rsid w:val="5A8D4FC0"/>
    <w:rsid w:val="5A8F1C82"/>
    <w:rsid w:val="5A952381"/>
    <w:rsid w:val="5A98405F"/>
    <w:rsid w:val="5AA04D8D"/>
    <w:rsid w:val="5AA333BB"/>
    <w:rsid w:val="5AB47BDF"/>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417B8"/>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AE42D8"/>
    <w:rsid w:val="5CB62EF3"/>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83552"/>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3E3D72"/>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AF7822"/>
    <w:rsid w:val="5FB05672"/>
    <w:rsid w:val="5FB47FA0"/>
    <w:rsid w:val="5FB50525"/>
    <w:rsid w:val="5FB57D4D"/>
    <w:rsid w:val="5FC6541D"/>
    <w:rsid w:val="5FCD3868"/>
    <w:rsid w:val="5FD706A1"/>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7540C8"/>
    <w:rsid w:val="607D59B7"/>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24A46"/>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D3674"/>
    <w:rsid w:val="62BF149B"/>
    <w:rsid w:val="62CA193B"/>
    <w:rsid w:val="62D30A87"/>
    <w:rsid w:val="62D53BF4"/>
    <w:rsid w:val="62F64193"/>
    <w:rsid w:val="62FD0BCE"/>
    <w:rsid w:val="63050234"/>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A57E4"/>
    <w:rsid w:val="63DE5D65"/>
    <w:rsid w:val="63DF6605"/>
    <w:rsid w:val="63E23D45"/>
    <w:rsid w:val="63F95413"/>
    <w:rsid w:val="64097EB3"/>
    <w:rsid w:val="64337DBE"/>
    <w:rsid w:val="643451D3"/>
    <w:rsid w:val="643F6D4B"/>
    <w:rsid w:val="64456269"/>
    <w:rsid w:val="64467B93"/>
    <w:rsid w:val="645018E6"/>
    <w:rsid w:val="64511EDE"/>
    <w:rsid w:val="64630D1E"/>
    <w:rsid w:val="6478176D"/>
    <w:rsid w:val="64813F51"/>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E55EB8"/>
    <w:rsid w:val="65E73B66"/>
    <w:rsid w:val="65F014CF"/>
    <w:rsid w:val="66022F90"/>
    <w:rsid w:val="66044FCB"/>
    <w:rsid w:val="660514B3"/>
    <w:rsid w:val="66131984"/>
    <w:rsid w:val="66187135"/>
    <w:rsid w:val="661B7E76"/>
    <w:rsid w:val="662429BB"/>
    <w:rsid w:val="662831A9"/>
    <w:rsid w:val="662C4F94"/>
    <w:rsid w:val="66313D38"/>
    <w:rsid w:val="663A7E7B"/>
    <w:rsid w:val="66452ADE"/>
    <w:rsid w:val="664A22D3"/>
    <w:rsid w:val="666C6F00"/>
    <w:rsid w:val="66773AC9"/>
    <w:rsid w:val="66787D6F"/>
    <w:rsid w:val="667A5A49"/>
    <w:rsid w:val="66897717"/>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3832E7"/>
    <w:rsid w:val="67405164"/>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5EC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57E0"/>
    <w:rsid w:val="698771E6"/>
    <w:rsid w:val="699B1540"/>
    <w:rsid w:val="699D4818"/>
    <w:rsid w:val="69C27972"/>
    <w:rsid w:val="69C43979"/>
    <w:rsid w:val="69C9231B"/>
    <w:rsid w:val="69DC5EE6"/>
    <w:rsid w:val="69DD4B38"/>
    <w:rsid w:val="69DE1829"/>
    <w:rsid w:val="6A0B7E27"/>
    <w:rsid w:val="6A116DEF"/>
    <w:rsid w:val="6A15604C"/>
    <w:rsid w:val="6A2E4954"/>
    <w:rsid w:val="6A3014CE"/>
    <w:rsid w:val="6A557981"/>
    <w:rsid w:val="6A5859DD"/>
    <w:rsid w:val="6A6A771D"/>
    <w:rsid w:val="6A6E396D"/>
    <w:rsid w:val="6A7D43A3"/>
    <w:rsid w:val="6A7E2CA7"/>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9C3AE5"/>
    <w:rsid w:val="6BA924EB"/>
    <w:rsid w:val="6BB3693A"/>
    <w:rsid w:val="6BB3754C"/>
    <w:rsid w:val="6BC86908"/>
    <w:rsid w:val="6BCE245B"/>
    <w:rsid w:val="6BD44297"/>
    <w:rsid w:val="6BDB0A87"/>
    <w:rsid w:val="6BE00053"/>
    <w:rsid w:val="6BEB5350"/>
    <w:rsid w:val="6BEC49EE"/>
    <w:rsid w:val="6BEC7C68"/>
    <w:rsid w:val="6BEE39CD"/>
    <w:rsid w:val="6C0C287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00E58"/>
    <w:rsid w:val="6E7F76C0"/>
    <w:rsid w:val="6E874588"/>
    <w:rsid w:val="6E8C7A11"/>
    <w:rsid w:val="6E9644A1"/>
    <w:rsid w:val="6E99733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071D8E"/>
    <w:rsid w:val="701241A0"/>
    <w:rsid w:val="70142157"/>
    <w:rsid w:val="701E3717"/>
    <w:rsid w:val="702603AF"/>
    <w:rsid w:val="704065EF"/>
    <w:rsid w:val="704D44C5"/>
    <w:rsid w:val="70531F9D"/>
    <w:rsid w:val="705E3F40"/>
    <w:rsid w:val="70607430"/>
    <w:rsid w:val="70663A7A"/>
    <w:rsid w:val="70726E65"/>
    <w:rsid w:val="70764B6A"/>
    <w:rsid w:val="708D6E69"/>
    <w:rsid w:val="709366D1"/>
    <w:rsid w:val="70DB4B36"/>
    <w:rsid w:val="70E040A3"/>
    <w:rsid w:val="70E13200"/>
    <w:rsid w:val="70E91C33"/>
    <w:rsid w:val="70EE53BA"/>
    <w:rsid w:val="70FF3D31"/>
    <w:rsid w:val="710B7588"/>
    <w:rsid w:val="71124891"/>
    <w:rsid w:val="712C3D58"/>
    <w:rsid w:val="7139612D"/>
    <w:rsid w:val="713E1029"/>
    <w:rsid w:val="714420CD"/>
    <w:rsid w:val="71466AC5"/>
    <w:rsid w:val="71546923"/>
    <w:rsid w:val="715F4C2D"/>
    <w:rsid w:val="716C72C7"/>
    <w:rsid w:val="716E56FB"/>
    <w:rsid w:val="71730FAE"/>
    <w:rsid w:val="71742846"/>
    <w:rsid w:val="71841719"/>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5344A6"/>
    <w:rsid w:val="735463E0"/>
    <w:rsid w:val="736816C1"/>
    <w:rsid w:val="737920CB"/>
    <w:rsid w:val="737B0183"/>
    <w:rsid w:val="7381208C"/>
    <w:rsid w:val="73841927"/>
    <w:rsid w:val="738A7955"/>
    <w:rsid w:val="73A36DC3"/>
    <w:rsid w:val="73B33483"/>
    <w:rsid w:val="73DE4D67"/>
    <w:rsid w:val="73F71AA0"/>
    <w:rsid w:val="73FC3414"/>
    <w:rsid w:val="73FC6BEB"/>
    <w:rsid w:val="74016246"/>
    <w:rsid w:val="740227D1"/>
    <w:rsid w:val="741255AF"/>
    <w:rsid w:val="74500A2B"/>
    <w:rsid w:val="745315CA"/>
    <w:rsid w:val="745A4881"/>
    <w:rsid w:val="745C121D"/>
    <w:rsid w:val="745D741C"/>
    <w:rsid w:val="745E4D08"/>
    <w:rsid w:val="7466647B"/>
    <w:rsid w:val="746D0FDE"/>
    <w:rsid w:val="746F3109"/>
    <w:rsid w:val="74881C43"/>
    <w:rsid w:val="749A55E5"/>
    <w:rsid w:val="74AE6F08"/>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AE0EB2"/>
    <w:rsid w:val="75B33C4A"/>
    <w:rsid w:val="75B84A01"/>
    <w:rsid w:val="75C863E2"/>
    <w:rsid w:val="75DA5365"/>
    <w:rsid w:val="75DE03EB"/>
    <w:rsid w:val="75EA7032"/>
    <w:rsid w:val="75EC44C9"/>
    <w:rsid w:val="75F71CA5"/>
    <w:rsid w:val="760C1517"/>
    <w:rsid w:val="7611078B"/>
    <w:rsid w:val="761A209E"/>
    <w:rsid w:val="761A2E8D"/>
    <w:rsid w:val="7628164D"/>
    <w:rsid w:val="76350AE1"/>
    <w:rsid w:val="76375AC5"/>
    <w:rsid w:val="76475DB4"/>
    <w:rsid w:val="765062E5"/>
    <w:rsid w:val="7652643E"/>
    <w:rsid w:val="76716185"/>
    <w:rsid w:val="76725203"/>
    <w:rsid w:val="767263E3"/>
    <w:rsid w:val="767955BC"/>
    <w:rsid w:val="767F6735"/>
    <w:rsid w:val="76871CA5"/>
    <w:rsid w:val="7689098F"/>
    <w:rsid w:val="768D7CD7"/>
    <w:rsid w:val="769A05C0"/>
    <w:rsid w:val="76A17FB6"/>
    <w:rsid w:val="76C2056E"/>
    <w:rsid w:val="76CE079E"/>
    <w:rsid w:val="76D25C7C"/>
    <w:rsid w:val="770858DA"/>
    <w:rsid w:val="770D2AFC"/>
    <w:rsid w:val="771B710A"/>
    <w:rsid w:val="77214557"/>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383CAA"/>
    <w:rsid w:val="78464A37"/>
    <w:rsid w:val="784A60C8"/>
    <w:rsid w:val="784B7472"/>
    <w:rsid w:val="785E7134"/>
    <w:rsid w:val="78661ED8"/>
    <w:rsid w:val="78815E79"/>
    <w:rsid w:val="78861A8D"/>
    <w:rsid w:val="788F779E"/>
    <w:rsid w:val="78973BA6"/>
    <w:rsid w:val="78993069"/>
    <w:rsid w:val="78A376CA"/>
    <w:rsid w:val="78AB08D6"/>
    <w:rsid w:val="78AF78E1"/>
    <w:rsid w:val="78CE534E"/>
    <w:rsid w:val="78D424A1"/>
    <w:rsid w:val="78ED42D2"/>
    <w:rsid w:val="78F67813"/>
    <w:rsid w:val="78F76941"/>
    <w:rsid w:val="78F82ED4"/>
    <w:rsid w:val="790114CB"/>
    <w:rsid w:val="790A0695"/>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C0930"/>
    <w:rsid w:val="7A4F3DD9"/>
    <w:rsid w:val="7A577D70"/>
    <w:rsid w:val="7A5872B9"/>
    <w:rsid w:val="7A5C3640"/>
    <w:rsid w:val="7A73566B"/>
    <w:rsid w:val="7A761A22"/>
    <w:rsid w:val="7A7D4F17"/>
    <w:rsid w:val="7A801366"/>
    <w:rsid w:val="7A8A78CF"/>
    <w:rsid w:val="7A977FDA"/>
    <w:rsid w:val="7A9B527F"/>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B6238F"/>
    <w:rsid w:val="7BCA1026"/>
    <w:rsid w:val="7BD173B3"/>
    <w:rsid w:val="7BDD14C7"/>
    <w:rsid w:val="7BDD38EC"/>
    <w:rsid w:val="7BE73398"/>
    <w:rsid w:val="7BEF4EDA"/>
    <w:rsid w:val="7BF07147"/>
    <w:rsid w:val="7BF8597E"/>
    <w:rsid w:val="7C06304A"/>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3E4474"/>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957C68"/>
    <w:rsid w:val="7FA22782"/>
    <w:rsid w:val="7FA522BC"/>
    <w:rsid w:val="7FAA17A5"/>
    <w:rsid w:val="7FAA5203"/>
    <w:rsid w:val="7FBA19A1"/>
    <w:rsid w:val="7FC90A85"/>
    <w:rsid w:val="7FDC7B8D"/>
    <w:rsid w:val="7FDF2A21"/>
    <w:rsid w:val="7FDF6BD9"/>
    <w:rsid w:val="7FE110E5"/>
    <w:rsid w:val="7FE26CB8"/>
    <w:rsid w:val="7FE854D1"/>
    <w:rsid w:val="7FF51C2F"/>
    <w:rsid w:val="7FF847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8</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2025-10-03T07:10:52Z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